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A1E" w:rsidRPr="00034A1E" w:rsidRDefault="00034A1E" w:rsidP="00034A1E">
      <w:pPr>
        <w:pStyle w:val="NormalWeb"/>
        <w:rPr>
          <w:b/>
          <w:bCs/>
          <w:color w:val="000000"/>
        </w:rPr>
      </w:pPr>
      <w:r>
        <w:rPr>
          <w:b/>
          <w:bCs/>
          <w:color w:val="000000"/>
        </w:rPr>
        <w:t>[CAPTION]</w:t>
      </w:r>
    </w:p>
    <w:p w:rsidR="00034A1E" w:rsidRDefault="00034A1E" w:rsidP="00034A1E">
      <w:pPr>
        <w:pStyle w:val="NormalWeb"/>
        <w:jc w:val="center"/>
      </w:pPr>
      <w:r>
        <w:rPr>
          <w:b/>
          <w:bCs/>
          <w:color w:val="000000"/>
          <w:u w:val="single"/>
        </w:rPr>
        <w:t xml:space="preserve">RULE 16(B) SCHEDULING ORDER </w:t>
      </w:r>
    </w:p>
    <w:p w:rsidR="00034A1E" w:rsidRDefault="00034A1E" w:rsidP="00034A1E">
      <w:pPr>
        <w:pStyle w:val="NormalWeb"/>
        <w:jc w:val="center"/>
      </w:pPr>
      <w:r>
        <w:rPr>
          <w:b/>
          <w:bCs/>
          <w:color w:val="000000"/>
          <w:u w:val="single"/>
        </w:rPr>
        <w:t>NON-JURY</w:t>
      </w:r>
    </w:p>
    <w:p w:rsidR="00034A1E" w:rsidRDefault="00034A1E" w:rsidP="00FA368E">
      <w:pPr>
        <w:pStyle w:val="NormalWeb"/>
        <w:spacing w:before="0" w:beforeAutospacing="0" w:after="120" w:afterAutospacing="0" w:line="360" w:lineRule="auto"/>
        <w:ind w:firstLine="720"/>
      </w:pPr>
      <w:r>
        <w:rPr>
          <w:color w:val="000000"/>
        </w:rPr>
        <w:t>Pursuant to Rule 1-016(B) NMRA, the Court herewith establishes the following schedule governing this case:</w:t>
      </w:r>
    </w:p>
    <w:p w:rsidR="00034A1E" w:rsidRDefault="00034A1E" w:rsidP="00FA368E">
      <w:pPr>
        <w:pStyle w:val="NormalWeb"/>
        <w:spacing w:before="0" w:beforeAutospacing="0" w:after="120" w:afterAutospacing="0" w:line="360" w:lineRule="auto"/>
        <w:ind w:firstLine="720"/>
      </w:pPr>
      <w:r>
        <w:rPr>
          <w:color w:val="000000"/>
        </w:rPr>
        <w:t xml:space="preserve">1. </w:t>
      </w:r>
      <w:r>
        <w:rPr>
          <w:b/>
          <w:bCs/>
          <w:color w:val="000000"/>
        </w:rPr>
        <w:t xml:space="preserve">MEDIATION/SETTLEMENT CONFERENCE DEADLINE. </w:t>
      </w:r>
      <w:r>
        <w:rPr>
          <w:color w:val="000000"/>
        </w:rPr>
        <w:t xml:space="preserve">The parties shall conduct a mediation or settlement conference </w:t>
      </w:r>
      <w:r>
        <w:rPr>
          <w:b/>
          <w:bCs/>
          <w:color w:val="000000"/>
        </w:rPr>
        <w:t>6 months</w:t>
      </w:r>
      <w:r w:rsidR="00FA368E">
        <w:rPr>
          <w:b/>
          <w:bCs/>
          <w:color w:val="000000"/>
        </w:rPr>
        <w:t xml:space="preserve"> before trial</w:t>
      </w:r>
      <w:r>
        <w:rPr>
          <w:b/>
          <w:bCs/>
          <w:color w:val="000000"/>
        </w:rPr>
        <w:t>.</w:t>
      </w:r>
      <w:r>
        <w:rPr>
          <w:color w:val="000000"/>
        </w:rPr>
        <w:t xml:space="preserve"> This deadline may not </w:t>
      </w:r>
      <w:proofErr w:type="gramStart"/>
      <w:r>
        <w:rPr>
          <w:color w:val="000000"/>
        </w:rPr>
        <w:t>be extended</w:t>
      </w:r>
      <w:proofErr w:type="gramEnd"/>
      <w:r>
        <w:rPr>
          <w:color w:val="000000"/>
        </w:rPr>
        <w:t xml:space="preserve"> by agreement of counsel and will only be extended by Court Order in </w:t>
      </w:r>
      <w:r w:rsidR="007315D5">
        <w:rPr>
          <w:color w:val="000000"/>
        </w:rPr>
        <w:t>e</w:t>
      </w:r>
      <w:r>
        <w:rPr>
          <w:color w:val="000000"/>
        </w:rPr>
        <w:t>xceptional circumstances.</w:t>
      </w:r>
      <w:r>
        <w:rPr>
          <w:b/>
          <w:bCs/>
          <w:color w:val="000000"/>
        </w:rPr>
        <w:t xml:space="preserve"> </w:t>
      </w:r>
      <w:r>
        <w:rPr>
          <w:color w:val="000000"/>
        </w:rPr>
        <w:t xml:space="preserve">Any discovery necessary for a productive mediation or settlement conference must be scheduled and completed in advance of the deadline. </w:t>
      </w:r>
      <w:proofErr w:type="gramStart"/>
      <w:r>
        <w:rPr>
          <w:color w:val="000000"/>
        </w:rPr>
        <w:t>Counsel shall either</w:t>
      </w:r>
      <w:proofErr w:type="gramEnd"/>
      <w:r>
        <w:rPr>
          <w:color w:val="000000"/>
        </w:rPr>
        <w:t xml:space="preserve"> file a Request for Referral to Settlement Conference for a referral to a qualified settlement facilitator through the Court’s Alternative Dispute Resolution (ADR) Program or they may make their own arrangements for a private mediator or settlement facilitator. An information sheet with directions to attorneys and self-represented litigants </w:t>
      </w:r>
      <w:proofErr w:type="gramStart"/>
      <w:r>
        <w:rPr>
          <w:color w:val="000000"/>
        </w:rPr>
        <w:t>is attached</w:t>
      </w:r>
      <w:proofErr w:type="gramEnd"/>
      <w:r>
        <w:rPr>
          <w:color w:val="000000"/>
        </w:rPr>
        <w:t xml:space="preserve"> to this Order. Within five days of the mediation or settlement conference, counsel or the mediator/settlement facilitator shall file a Certificate of Compliance to report on the outcome of the settlement conference. </w:t>
      </w:r>
    </w:p>
    <w:p w:rsidR="00034A1E" w:rsidRDefault="00034A1E" w:rsidP="00FA368E">
      <w:pPr>
        <w:pStyle w:val="NormalWeb"/>
        <w:spacing w:before="0" w:beforeAutospacing="0" w:after="120" w:afterAutospacing="0" w:line="360" w:lineRule="auto"/>
        <w:ind w:firstLine="720"/>
      </w:pPr>
      <w:r>
        <w:rPr>
          <w:color w:val="000000"/>
        </w:rPr>
        <w:t>Unless otherwise agreed to or unless otherwise ordered by the Court, the Settleme</w:t>
      </w:r>
      <w:r w:rsidR="007315D5">
        <w:rPr>
          <w:color w:val="000000"/>
        </w:rPr>
        <w:t xml:space="preserve">nt </w:t>
      </w:r>
      <w:proofErr w:type="gramStart"/>
      <w:r w:rsidR="007315D5">
        <w:rPr>
          <w:color w:val="000000"/>
        </w:rPr>
        <w:t>Facilitator’s</w:t>
      </w:r>
      <w:proofErr w:type="gramEnd"/>
      <w:r w:rsidR="007315D5">
        <w:rPr>
          <w:color w:val="000000"/>
        </w:rPr>
        <w:t xml:space="preserve"> or Mediator’s</w:t>
      </w:r>
      <w:r>
        <w:rPr>
          <w:color w:val="000000"/>
        </w:rPr>
        <w:t xml:space="preserve"> fee shall be paid by the parties in equal shares. The following persons shall attend the settlement conference, either in person or telephonically: each party of record including parties represented by counsel; each counsel of record who will be trying the case; for each party, the person or persons with complete authority to settle the case. Persons who do not reside or maintain a business office in New Mexico may attend the settlement conference telephonically; all other persons shall attend the settlement conference in person unless </w:t>
      </w:r>
      <w:proofErr w:type="gramStart"/>
      <w:r>
        <w:rPr>
          <w:color w:val="000000"/>
        </w:rPr>
        <w:t>different arrangements are established by the settlement referee or mediator with the approval of the court</w:t>
      </w:r>
      <w:proofErr w:type="gramEnd"/>
      <w:r>
        <w:rPr>
          <w:color w:val="000000"/>
        </w:rPr>
        <w:t>; in any event, all individuals with full settlement authority shall attend the settlement conference.</w:t>
      </w:r>
    </w:p>
    <w:p w:rsidR="00034A1E" w:rsidRDefault="00034A1E" w:rsidP="00FA368E">
      <w:pPr>
        <w:pStyle w:val="NormalWeb"/>
        <w:spacing w:before="0" w:beforeAutospacing="0" w:after="120" w:afterAutospacing="0" w:line="360" w:lineRule="auto"/>
        <w:ind w:firstLine="720"/>
      </w:pPr>
      <w:r>
        <w:rPr>
          <w:color w:val="000000"/>
        </w:rPr>
        <w:t xml:space="preserve">2. </w:t>
      </w:r>
      <w:r>
        <w:rPr>
          <w:b/>
          <w:bCs/>
          <w:color w:val="000000"/>
        </w:rPr>
        <w:t xml:space="preserve">JOINDER OF PARTIES. </w:t>
      </w:r>
      <w:r>
        <w:rPr>
          <w:color w:val="000000"/>
        </w:rPr>
        <w:t xml:space="preserve">Additional parties </w:t>
      </w:r>
      <w:proofErr w:type="gramStart"/>
      <w:r>
        <w:rPr>
          <w:color w:val="000000"/>
        </w:rPr>
        <w:t>will not be joined</w:t>
      </w:r>
      <w:proofErr w:type="gramEnd"/>
      <w:r>
        <w:rPr>
          <w:color w:val="000000"/>
        </w:rPr>
        <w:t xml:space="preserve"> unless otherwise ordered by th</w:t>
      </w:r>
      <w:bookmarkStart w:id="0" w:name="_GoBack"/>
      <w:bookmarkEnd w:id="0"/>
      <w:r>
        <w:rPr>
          <w:color w:val="000000"/>
        </w:rPr>
        <w:t xml:space="preserve">e Court. If additional parties </w:t>
      </w:r>
      <w:proofErr w:type="gramStart"/>
      <w:r>
        <w:rPr>
          <w:color w:val="000000"/>
        </w:rPr>
        <w:t>are joined</w:t>
      </w:r>
      <w:proofErr w:type="gramEnd"/>
      <w:r>
        <w:rPr>
          <w:color w:val="000000"/>
        </w:rPr>
        <w:t xml:space="preserve">, such joinder must occur in a timely </w:t>
      </w:r>
      <w:r>
        <w:rPr>
          <w:color w:val="000000"/>
        </w:rPr>
        <w:lastRenderedPageBreak/>
        <w:t>manner such that the Mediation/Settlement Conference deadline and trial setting are not affected.</w:t>
      </w:r>
    </w:p>
    <w:p w:rsidR="00034A1E" w:rsidRDefault="00034A1E" w:rsidP="00FA368E">
      <w:pPr>
        <w:pStyle w:val="NormalWeb"/>
        <w:spacing w:before="0" w:beforeAutospacing="0" w:after="120" w:afterAutospacing="0" w:line="360" w:lineRule="auto"/>
        <w:ind w:firstLine="720"/>
      </w:pPr>
      <w:r>
        <w:rPr>
          <w:color w:val="000000"/>
        </w:rPr>
        <w:t xml:space="preserve">3. </w:t>
      </w:r>
      <w:r>
        <w:rPr>
          <w:b/>
          <w:bCs/>
          <w:color w:val="000000"/>
        </w:rPr>
        <w:t>AMENDMENT OF PLEADINGS.</w:t>
      </w:r>
      <w:r>
        <w:rPr>
          <w:color w:val="000000"/>
        </w:rPr>
        <w:t xml:space="preserve"> Motions concerning amendments to the Complaint and Answer </w:t>
      </w:r>
      <w:proofErr w:type="gramStart"/>
      <w:r>
        <w:rPr>
          <w:color w:val="000000"/>
        </w:rPr>
        <w:t>shall be filed</w:t>
      </w:r>
      <w:proofErr w:type="gramEnd"/>
      <w:r>
        <w:rPr>
          <w:color w:val="000000"/>
        </w:rPr>
        <w:t xml:space="preserve"> within </w:t>
      </w:r>
      <w:r>
        <w:rPr>
          <w:b/>
          <w:bCs/>
          <w:color w:val="000000"/>
        </w:rPr>
        <w:t>60 days of entry of this Order</w:t>
      </w:r>
      <w:r>
        <w:rPr>
          <w:color w:val="000000"/>
        </w:rPr>
        <w:t>, unless otherwise ordered by the Court.</w:t>
      </w:r>
    </w:p>
    <w:p w:rsidR="00034A1E" w:rsidRDefault="00034A1E" w:rsidP="00FA368E">
      <w:pPr>
        <w:pStyle w:val="NormalWeb"/>
        <w:spacing w:before="0" w:beforeAutospacing="0" w:after="120" w:afterAutospacing="0" w:line="360" w:lineRule="auto"/>
        <w:ind w:firstLine="720"/>
        <w:rPr>
          <w:color w:val="000000"/>
        </w:rPr>
      </w:pPr>
      <w:r>
        <w:rPr>
          <w:color w:val="000000"/>
        </w:rPr>
        <w:t xml:space="preserve">4. </w:t>
      </w:r>
      <w:r>
        <w:rPr>
          <w:b/>
          <w:bCs/>
          <w:color w:val="000000"/>
        </w:rPr>
        <w:t>MOTIONS.</w:t>
      </w:r>
      <w:r>
        <w:rPr>
          <w:color w:val="000000"/>
        </w:rPr>
        <w:t xml:space="preserve"> </w:t>
      </w:r>
      <w:r>
        <w:rPr>
          <w:b/>
          <w:bCs/>
          <w:color w:val="000000"/>
          <w:u w:val="single"/>
        </w:rPr>
        <w:t>All motions addressed to the pleadings</w:t>
      </w:r>
      <w:r>
        <w:rPr>
          <w:color w:val="000000"/>
        </w:rPr>
        <w:t xml:space="preserve"> (i.e., Motions brought under Rule 1-012(B), (D), (E) or (F) NMRA) shall be filed within </w:t>
      </w:r>
      <w:r>
        <w:rPr>
          <w:b/>
          <w:bCs/>
          <w:color w:val="000000"/>
        </w:rPr>
        <w:t>30 days of entry of this Order</w:t>
      </w:r>
      <w:r>
        <w:rPr>
          <w:color w:val="000000"/>
        </w:rPr>
        <w:t xml:space="preserve">, unless otherwise ordered by the Court. </w:t>
      </w:r>
      <w:r>
        <w:rPr>
          <w:b/>
          <w:bCs/>
          <w:color w:val="000000"/>
          <w:u w:val="single"/>
        </w:rPr>
        <w:t>Motions for Summary Judgment</w:t>
      </w:r>
      <w:r>
        <w:rPr>
          <w:color w:val="000000"/>
        </w:rPr>
        <w:t xml:space="preserve"> pursuant to Rule 1-056 NMRA </w:t>
      </w:r>
      <w:proofErr w:type="gramStart"/>
      <w:r>
        <w:rPr>
          <w:color w:val="000000"/>
        </w:rPr>
        <w:t>shall be filed</w:t>
      </w:r>
      <w:proofErr w:type="gramEnd"/>
      <w:r>
        <w:rPr>
          <w:color w:val="000000"/>
        </w:rPr>
        <w:t xml:space="preserve"> no later than </w:t>
      </w:r>
      <w:r>
        <w:rPr>
          <w:b/>
          <w:bCs/>
          <w:color w:val="000000"/>
        </w:rPr>
        <w:t>3 months before trial,</w:t>
      </w:r>
      <w:r>
        <w:rPr>
          <w:color w:val="000000"/>
        </w:rPr>
        <w:t xml:space="preserve"> unless otherwise ordered by the Court. </w:t>
      </w:r>
      <w:r>
        <w:rPr>
          <w:b/>
          <w:bCs/>
          <w:color w:val="000000"/>
          <w:u w:val="single"/>
        </w:rPr>
        <w:t xml:space="preserve">Motion in </w:t>
      </w:r>
      <w:proofErr w:type="spellStart"/>
      <w:r>
        <w:rPr>
          <w:b/>
          <w:bCs/>
          <w:color w:val="000000"/>
          <w:u w:val="single"/>
        </w:rPr>
        <w:t>limine</w:t>
      </w:r>
      <w:proofErr w:type="spellEnd"/>
      <w:r>
        <w:rPr>
          <w:b/>
          <w:bCs/>
          <w:color w:val="000000"/>
          <w:u w:val="single"/>
        </w:rPr>
        <w:t xml:space="preserve"> packages</w:t>
      </w:r>
      <w:r>
        <w:rPr>
          <w:color w:val="000000"/>
        </w:rPr>
        <w:t xml:space="preserve"> </w:t>
      </w:r>
      <w:proofErr w:type="gramStart"/>
      <w:r>
        <w:rPr>
          <w:color w:val="000000"/>
        </w:rPr>
        <w:t>shall be submitted</w:t>
      </w:r>
      <w:proofErr w:type="gramEnd"/>
      <w:r>
        <w:rPr>
          <w:color w:val="000000"/>
        </w:rPr>
        <w:t xml:space="preserve"> no later than seven (7) calendar days after trial exhibit lists are filed pursuant to paragraph 7 herein.</w:t>
      </w:r>
    </w:p>
    <w:p w:rsidR="00034A1E" w:rsidRDefault="00034A1E" w:rsidP="00FA368E">
      <w:pPr>
        <w:pStyle w:val="NormalWeb"/>
        <w:spacing w:before="0" w:beforeAutospacing="0" w:after="120" w:afterAutospacing="0" w:line="360" w:lineRule="auto"/>
        <w:ind w:firstLine="720"/>
      </w:pPr>
      <w:r>
        <w:rPr>
          <w:color w:val="000000"/>
        </w:rPr>
        <w:t xml:space="preserve">5. </w:t>
      </w:r>
      <w:r>
        <w:rPr>
          <w:b/>
          <w:bCs/>
          <w:color w:val="000000"/>
        </w:rPr>
        <w:t>DISCOVERY.</w:t>
      </w:r>
      <w:r>
        <w:rPr>
          <w:color w:val="000000"/>
        </w:rPr>
        <w:t xml:space="preserve"> The time to complete discovery ends </w:t>
      </w:r>
      <w:r w:rsidR="008C4FE8">
        <w:rPr>
          <w:b/>
          <w:bCs/>
          <w:color w:val="000000"/>
        </w:rPr>
        <w:t>2</w:t>
      </w:r>
      <w:r>
        <w:rPr>
          <w:b/>
          <w:bCs/>
          <w:color w:val="000000"/>
        </w:rPr>
        <w:t xml:space="preserve"> months before trial</w:t>
      </w:r>
      <w:r>
        <w:rPr>
          <w:color w:val="000000"/>
        </w:rPr>
        <w:t xml:space="preserve">, unless otherwise ordered by the Court. Discovery requests </w:t>
      </w:r>
      <w:proofErr w:type="gramStart"/>
      <w:r>
        <w:rPr>
          <w:color w:val="000000"/>
        </w:rPr>
        <w:t>shall be filed</w:t>
      </w:r>
      <w:proofErr w:type="gramEnd"/>
      <w:r>
        <w:rPr>
          <w:color w:val="000000"/>
        </w:rPr>
        <w:t xml:space="preserve"> in sufficient time to allow response before the close of the discovery period.</w:t>
      </w:r>
    </w:p>
    <w:p w:rsidR="00034A1E" w:rsidRDefault="00034A1E" w:rsidP="00FA368E">
      <w:pPr>
        <w:pStyle w:val="NormalWeb"/>
        <w:spacing w:before="0" w:beforeAutospacing="0" w:after="120" w:afterAutospacing="0" w:line="360" w:lineRule="auto"/>
        <w:ind w:firstLine="720"/>
      </w:pPr>
      <w:r>
        <w:rPr>
          <w:color w:val="000000"/>
        </w:rPr>
        <w:t xml:space="preserve">6. </w:t>
      </w:r>
      <w:r>
        <w:rPr>
          <w:b/>
          <w:bCs/>
          <w:color w:val="000000"/>
        </w:rPr>
        <w:t>WITNESSES.</w:t>
      </w:r>
      <w:r>
        <w:rPr>
          <w:color w:val="000000"/>
        </w:rPr>
        <w:t xml:space="preserve"> The parties shall file a list of expert witnesses expected to testify at trial on or before the dates set forth below:</w:t>
      </w:r>
    </w:p>
    <w:p w:rsidR="00034A1E" w:rsidRDefault="00034A1E" w:rsidP="00FA368E">
      <w:pPr>
        <w:pStyle w:val="NormalWeb"/>
        <w:spacing w:before="0" w:beforeAutospacing="0" w:after="120" w:afterAutospacing="0" w:line="360" w:lineRule="auto"/>
        <w:ind w:firstLine="1440"/>
      </w:pPr>
      <w:r>
        <w:rPr>
          <w:color w:val="000000"/>
        </w:rPr>
        <w:t xml:space="preserve">Plaintiff expert witnesses: </w:t>
      </w:r>
      <w:r w:rsidR="008C4FE8">
        <w:rPr>
          <w:b/>
          <w:color w:val="000000"/>
        </w:rPr>
        <w:t>8</w:t>
      </w:r>
      <w:r w:rsidR="00E95D6F" w:rsidRPr="00E95D6F">
        <w:rPr>
          <w:b/>
          <w:color w:val="000000"/>
        </w:rPr>
        <w:t xml:space="preserve"> </w:t>
      </w:r>
      <w:r>
        <w:rPr>
          <w:b/>
          <w:bCs/>
          <w:color w:val="000000"/>
        </w:rPr>
        <w:t>months before trial</w:t>
      </w:r>
    </w:p>
    <w:p w:rsidR="00034A1E" w:rsidRDefault="00034A1E" w:rsidP="00FA368E">
      <w:pPr>
        <w:pStyle w:val="NormalWeb"/>
        <w:spacing w:before="0" w:beforeAutospacing="0" w:after="120" w:afterAutospacing="0" w:line="360" w:lineRule="auto"/>
        <w:ind w:firstLine="1440"/>
      </w:pPr>
      <w:r>
        <w:rPr>
          <w:color w:val="000000"/>
        </w:rPr>
        <w:t xml:space="preserve">Defense expert witnesses: </w:t>
      </w:r>
      <w:r w:rsidR="008C4FE8">
        <w:rPr>
          <w:b/>
          <w:bCs/>
          <w:color w:val="000000"/>
        </w:rPr>
        <w:t>7</w:t>
      </w:r>
      <w:r w:rsidR="00E95D6F">
        <w:rPr>
          <w:b/>
          <w:bCs/>
          <w:color w:val="000000"/>
        </w:rPr>
        <w:t xml:space="preserve"> </w:t>
      </w:r>
      <w:r>
        <w:rPr>
          <w:b/>
          <w:bCs/>
          <w:color w:val="000000"/>
        </w:rPr>
        <w:t>months before trial</w:t>
      </w:r>
    </w:p>
    <w:p w:rsidR="00034A1E" w:rsidRDefault="00034A1E" w:rsidP="00FA368E">
      <w:pPr>
        <w:pStyle w:val="NormalWeb"/>
        <w:spacing w:before="0" w:beforeAutospacing="0" w:after="120" w:afterAutospacing="0" w:line="360" w:lineRule="auto"/>
        <w:ind w:firstLine="720"/>
      </w:pPr>
      <w:r>
        <w:rPr>
          <w:color w:val="000000"/>
        </w:rPr>
        <w:t xml:space="preserve">At the </w:t>
      </w:r>
      <w:proofErr w:type="gramStart"/>
      <w:r>
        <w:rPr>
          <w:color w:val="000000"/>
        </w:rPr>
        <w:t>time</w:t>
      </w:r>
      <w:proofErr w:type="gramEnd"/>
      <w:r>
        <w:rPr>
          <w:color w:val="000000"/>
        </w:rPr>
        <w:t xml:space="preserve"> the expert witnesses are identified, the party presenting the expert witness shall provide to all other parties the following: 1) a current curriculum vitae of the expert; 2) a written summary of the opinions the expert will present at trial; and 3) any written reports that have been prepared by the expert.</w:t>
      </w:r>
    </w:p>
    <w:p w:rsidR="00034A1E" w:rsidRDefault="00034A1E" w:rsidP="00FA368E">
      <w:pPr>
        <w:pStyle w:val="NormalWeb"/>
        <w:spacing w:before="0" w:beforeAutospacing="0" w:after="120" w:afterAutospacing="0" w:line="360" w:lineRule="auto"/>
        <w:ind w:firstLine="720"/>
      </w:pPr>
      <w:r>
        <w:rPr>
          <w:color w:val="000000"/>
        </w:rPr>
        <w:t xml:space="preserve">The parties shall file a list of all non-expert witnesses expected to testify at trial on or before </w:t>
      </w:r>
      <w:r w:rsidR="008C4FE8">
        <w:rPr>
          <w:b/>
          <w:bCs/>
          <w:color w:val="000000"/>
        </w:rPr>
        <w:t>7</w:t>
      </w:r>
      <w:r>
        <w:rPr>
          <w:b/>
          <w:bCs/>
          <w:color w:val="000000"/>
        </w:rPr>
        <w:t xml:space="preserve"> months before trial</w:t>
      </w:r>
      <w:r>
        <w:rPr>
          <w:color w:val="000000"/>
        </w:rPr>
        <w:t>.</w:t>
      </w:r>
    </w:p>
    <w:p w:rsidR="00034A1E" w:rsidRDefault="00034A1E" w:rsidP="00FA368E">
      <w:pPr>
        <w:pStyle w:val="NormalWeb"/>
        <w:spacing w:before="0" w:beforeAutospacing="0" w:after="120" w:afterAutospacing="0" w:line="360" w:lineRule="auto"/>
        <w:ind w:firstLine="720"/>
      </w:pPr>
      <w:r>
        <w:rPr>
          <w:color w:val="000000"/>
        </w:rPr>
        <w:t>No later than seven days after the last date designated for disclosure of expert and non-expert witnesses, all counsel and self-represented litigants who are expected to participate at trial shall conduct a telephonic conference for the purpose of scheduling all depositions yet to be scheduled in this matter.</w:t>
      </w:r>
    </w:p>
    <w:p w:rsidR="00034A1E" w:rsidRDefault="00034A1E" w:rsidP="00FA368E">
      <w:pPr>
        <w:pStyle w:val="NormalWeb"/>
        <w:spacing w:before="0" w:beforeAutospacing="0" w:after="120" w:afterAutospacing="0" w:line="360" w:lineRule="auto"/>
        <w:ind w:firstLine="720"/>
      </w:pPr>
      <w:r>
        <w:rPr>
          <w:color w:val="000000"/>
        </w:rPr>
        <w:lastRenderedPageBreak/>
        <w:t xml:space="preserve">7. </w:t>
      </w:r>
      <w:r>
        <w:rPr>
          <w:b/>
          <w:bCs/>
          <w:color w:val="000000"/>
        </w:rPr>
        <w:t>EXHIBITS.</w:t>
      </w:r>
      <w:r>
        <w:rPr>
          <w:color w:val="000000"/>
        </w:rPr>
        <w:t xml:space="preserve"> The parties shall file a list of all exhibits </w:t>
      </w:r>
      <w:proofErr w:type="gramStart"/>
      <w:r>
        <w:rPr>
          <w:color w:val="000000"/>
        </w:rPr>
        <w:t>expected to be submitted</w:t>
      </w:r>
      <w:proofErr w:type="gramEnd"/>
      <w:r>
        <w:rPr>
          <w:color w:val="000000"/>
        </w:rPr>
        <w:t xml:space="preserve"> at trial no later than </w:t>
      </w:r>
      <w:r>
        <w:rPr>
          <w:b/>
          <w:bCs/>
          <w:color w:val="000000"/>
        </w:rPr>
        <w:t>9 weeks before trial</w:t>
      </w:r>
      <w:r>
        <w:rPr>
          <w:color w:val="000000"/>
        </w:rPr>
        <w:t xml:space="preserve">. </w:t>
      </w:r>
      <w:r>
        <w:rPr>
          <w:b/>
          <w:bCs/>
          <w:color w:val="000000"/>
        </w:rPr>
        <w:t>The parties shall provide four (4) binders with all trial exhibits to the Court on the day of trial</w:t>
      </w:r>
      <w:r>
        <w:rPr>
          <w:color w:val="000000"/>
        </w:rPr>
        <w:t xml:space="preserve">. </w:t>
      </w:r>
      <w:r>
        <w:rPr>
          <w:b/>
          <w:bCs/>
          <w:color w:val="000000"/>
        </w:rPr>
        <w:t>Counsel for the parties shall be responsible for collecting and maintaining their respective exhibits pending any appeal. The Court shall not be responsible for maintaining offered or admitted exhibits.</w:t>
      </w:r>
    </w:p>
    <w:p w:rsidR="00034A1E" w:rsidRDefault="00034A1E" w:rsidP="00FA368E">
      <w:pPr>
        <w:pStyle w:val="NormalWeb"/>
        <w:spacing w:before="0" w:beforeAutospacing="0" w:after="120" w:afterAutospacing="0" w:line="360" w:lineRule="auto"/>
        <w:ind w:firstLine="720"/>
      </w:pPr>
      <w:r>
        <w:rPr>
          <w:color w:val="000000"/>
        </w:rPr>
        <w:t xml:space="preserve">8. </w:t>
      </w:r>
      <w:r>
        <w:rPr>
          <w:b/>
          <w:bCs/>
          <w:color w:val="000000"/>
        </w:rPr>
        <w:t>PRE-TRIAL CONFERENCE.</w:t>
      </w:r>
      <w:r>
        <w:rPr>
          <w:color w:val="000000"/>
        </w:rPr>
        <w:t xml:space="preserve"> </w:t>
      </w:r>
      <w:r w:rsidR="00820459">
        <w:rPr>
          <w:color w:val="000000"/>
        </w:rPr>
        <w:t xml:space="preserve">The pre-trial conference mandated by Rule 1-016(C) NMRA </w:t>
      </w:r>
      <w:proofErr w:type="gramStart"/>
      <w:r w:rsidR="00820459">
        <w:rPr>
          <w:color w:val="000000"/>
        </w:rPr>
        <w:t>shall</w:t>
      </w:r>
      <w:proofErr w:type="gramEnd"/>
      <w:r w:rsidR="00820459">
        <w:rPr>
          <w:color w:val="000000"/>
        </w:rPr>
        <w:t xml:space="preserve"> be held at </w:t>
      </w:r>
      <w:r w:rsidR="00820459">
        <w:rPr>
          <w:b/>
          <w:bCs/>
          <w:color w:val="000000"/>
        </w:rPr>
        <w:t xml:space="preserve">9:00 a.m., </w:t>
      </w:r>
      <w:r w:rsidR="00820459">
        <w:rPr>
          <w:b/>
          <w:color w:val="000000"/>
        </w:rPr>
        <w:t>{DATE}</w:t>
      </w:r>
      <w:r w:rsidR="00820459">
        <w:rPr>
          <w:b/>
          <w:bCs/>
          <w:color w:val="000000"/>
        </w:rPr>
        <w:t xml:space="preserve">, </w:t>
      </w:r>
      <w:r w:rsidR="00820459" w:rsidRPr="00A27684">
        <w:rPr>
          <w:color w:val="000000"/>
        </w:rPr>
        <w:t xml:space="preserve">on </w:t>
      </w:r>
      <w:proofErr w:type="spellStart"/>
      <w:r w:rsidR="00820459" w:rsidRPr="00A27684">
        <w:rPr>
          <w:b/>
          <w:color w:val="000000"/>
        </w:rPr>
        <w:t>GoogleMeet</w:t>
      </w:r>
      <w:proofErr w:type="spellEnd"/>
      <w:r w:rsidR="00820459" w:rsidRPr="00A27684">
        <w:rPr>
          <w:color w:val="000000"/>
        </w:rPr>
        <w:t>. The court requires counsel and parties to participate by video at https://meet.google.com/hdc-wqjx-wes. Trial counsel must attend the pre-trial conference.</w:t>
      </w:r>
    </w:p>
    <w:p w:rsidR="00034A1E" w:rsidRDefault="00034A1E" w:rsidP="00FA368E">
      <w:pPr>
        <w:pStyle w:val="NormalWeb"/>
        <w:spacing w:before="0" w:beforeAutospacing="0" w:after="120" w:afterAutospacing="0" w:line="360" w:lineRule="auto"/>
        <w:ind w:firstLine="720"/>
      </w:pPr>
      <w:r>
        <w:rPr>
          <w:color w:val="000000"/>
        </w:rPr>
        <w:t xml:space="preserve">9. </w:t>
      </w:r>
      <w:r>
        <w:rPr>
          <w:b/>
          <w:bCs/>
          <w:color w:val="000000"/>
        </w:rPr>
        <w:t>PRE-TRIAL ORDER.</w:t>
      </w:r>
      <w:r>
        <w:rPr>
          <w:color w:val="000000"/>
        </w:rPr>
        <w:t xml:space="preserve"> Plaintiff(s) counsel shall prepare their portion of the Pre-Trial Order and submit it to opposing counsel no later than </w:t>
      </w:r>
      <w:r>
        <w:rPr>
          <w:b/>
          <w:bCs/>
          <w:color w:val="000000"/>
        </w:rPr>
        <w:t>1 month before trial</w:t>
      </w:r>
      <w:r>
        <w:rPr>
          <w:color w:val="000000"/>
        </w:rPr>
        <w:t xml:space="preserve">. Opposing counsel shall file the Pre-Trial Order </w:t>
      </w:r>
      <w:r w:rsidR="002F0F77">
        <w:rPr>
          <w:b/>
          <w:bCs/>
          <w:color w:val="000000"/>
        </w:rPr>
        <w:t>15 days</w:t>
      </w:r>
      <w:r>
        <w:rPr>
          <w:b/>
          <w:bCs/>
          <w:color w:val="000000"/>
        </w:rPr>
        <w:t xml:space="preserve"> before </w:t>
      </w:r>
      <w:r w:rsidR="002F0F77">
        <w:rPr>
          <w:b/>
          <w:bCs/>
          <w:color w:val="000000"/>
        </w:rPr>
        <w:t>trial.</w:t>
      </w:r>
    </w:p>
    <w:p w:rsidR="00034A1E" w:rsidRDefault="00034A1E" w:rsidP="00FA368E">
      <w:pPr>
        <w:pStyle w:val="NormalWeb"/>
        <w:spacing w:before="0" w:beforeAutospacing="0" w:after="120" w:afterAutospacing="0" w:line="360" w:lineRule="auto"/>
        <w:ind w:firstLine="720"/>
      </w:pPr>
      <w:r>
        <w:rPr>
          <w:color w:val="000000"/>
        </w:rPr>
        <w:t xml:space="preserve">10. </w:t>
      </w:r>
      <w:r>
        <w:rPr>
          <w:b/>
          <w:bCs/>
          <w:color w:val="000000"/>
        </w:rPr>
        <w:t>PROPOSED FINDINGS OF FACT AND CONCLUSIONS OF LAW.</w:t>
      </w:r>
      <w:r>
        <w:rPr>
          <w:color w:val="000000"/>
        </w:rPr>
        <w:t xml:space="preserve"> The Court will require proposed Findings of Fact and Conclusions of law to </w:t>
      </w:r>
      <w:proofErr w:type="gramStart"/>
      <w:r>
        <w:rPr>
          <w:color w:val="000000"/>
        </w:rPr>
        <w:t>be submitted</w:t>
      </w:r>
      <w:proofErr w:type="gramEnd"/>
      <w:r>
        <w:rPr>
          <w:color w:val="000000"/>
        </w:rPr>
        <w:t xml:space="preserve"> prior to trial as a means of assuring a disciplined and focused presentation of evidence. Proposed Findings of Fact and Conclusions of Law </w:t>
      </w:r>
      <w:proofErr w:type="gramStart"/>
      <w:r>
        <w:rPr>
          <w:color w:val="000000"/>
        </w:rPr>
        <w:t xml:space="preserve">shall be filed or presented to the Court no later than </w:t>
      </w:r>
      <w:r w:rsidR="002F0F77">
        <w:rPr>
          <w:b/>
          <w:bCs/>
          <w:color w:val="000000"/>
        </w:rPr>
        <w:t>1</w:t>
      </w:r>
      <w:r w:rsidR="002D0970">
        <w:rPr>
          <w:b/>
          <w:bCs/>
          <w:color w:val="000000"/>
        </w:rPr>
        <w:t xml:space="preserve"> week</w:t>
      </w:r>
      <w:r w:rsidR="002F0F77">
        <w:rPr>
          <w:b/>
          <w:bCs/>
          <w:color w:val="000000"/>
        </w:rPr>
        <w:t xml:space="preserve"> before trial</w:t>
      </w:r>
      <w:proofErr w:type="gramEnd"/>
      <w:r w:rsidR="002F0F77">
        <w:rPr>
          <w:b/>
          <w:bCs/>
          <w:color w:val="000000"/>
        </w:rPr>
        <w:t>.</w:t>
      </w:r>
      <w:r>
        <w:rPr>
          <w:color w:val="000000"/>
        </w:rPr>
        <w:t xml:space="preserve"> </w:t>
      </w:r>
    </w:p>
    <w:p w:rsidR="00034A1E" w:rsidRDefault="00034A1E" w:rsidP="00FA368E">
      <w:pPr>
        <w:pStyle w:val="NormalWeb"/>
        <w:spacing w:before="0" w:beforeAutospacing="0" w:after="120" w:afterAutospacing="0" w:line="360" w:lineRule="auto"/>
        <w:ind w:firstLine="720"/>
      </w:pPr>
      <w:r>
        <w:rPr>
          <w:color w:val="000000"/>
        </w:rPr>
        <w:t xml:space="preserve">11. </w:t>
      </w:r>
      <w:r>
        <w:rPr>
          <w:b/>
          <w:bCs/>
          <w:color w:val="000000"/>
        </w:rPr>
        <w:t>DOCKET CALL.</w:t>
      </w:r>
      <w:r>
        <w:rPr>
          <w:color w:val="000000"/>
        </w:rPr>
        <w:t xml:space="preserve"> Docket call for this matter is set for</w:t>
      </w:r>
      <w:r w:rsidR="002F0F77">
        <w:rPr>
          <w:b/>
          <w:bCs/>
          <w:color w:val="000000"/>
        </w:rPr>
        <w:t xml:space="preserve"> {DATE}</w:t>
      </w:r>
      <w:r>
        <w:rPr>
          <w:b/>
          <w:bCs/>
          <w:color w:val="000000"/>
        </w:rPr>
        <w:t xml:space="preserve">, at </w:t>
      </w:r>
      <w:r w:rsidR="00E95D6F">
        <w:rPr>
          <w:b/>
          <w:bCs/>
          <w:color w:val="000000"/>
        </w:rPr>
        <w:t>9:00</w:t>
      </w:r>
      <w:r>
        <w:rPr>
          <w:b/>
          <w:bCs/>
          <w:color w:val="000000"/>
        </w:rPr>
        <w:t xml:space="preserve"> a.m.,</w:t>
      </w:r>
      <w:r>
        <w:rPr>
          <w:color w:val="000000"/>
        </w:rPr>
        <w:t xml:space="preserve"> at the Judge Steve Herrera Judicial Complex, Santa Fe, New Mexico. At that time, attorneys must appear for case scheduling. Parties represented by counsel need not appear at the Docket Call for non-jury trials. The trial date </w:t>
      </w:r>
      <w:proofErr w:type="gramStart"/>
      <w:r>
        <w:rPr>
          <w:color w:val="000000"/>
        </w:rPr>
        <w:t>will not be continued</w:t>
      </w:r>
      <w:proofErr w:type="gramEnd"/>
      <w:r>
        <w:rPr>
          <w:color w:val="000000"/>
        </w:rPr>
        <w:t xml:space="preserve"> unless there are exceptional circumstances</w:t>
      </w:r>
      <w:r>
        <w:rPr>
          <w:b/>
          <w:bCs/>
          <w:color w:val="000000"/>
        </w:rPr>
        <w:t xml:space="preserve">. </w:t>
      </w:r>
      <w:r>
        <w:rPr>
          <w:color w:val="000000"/>
        </w:rPr>
        <w:t xml:space="preserve">The Court will attempt to work around scheduling conflicts within the trial docket; however, counsel should arrange to have co-counsel or substitute counsel available to try the case if such conflicts cannot be resolved. </w:t>
      </w:r>
      <w:r w:rsidR="00820459">
        <w:rPr>
          <w:color w:val="000000"/>
        </w:rPr>
        <w:t xml:space="preserve">. </w:t>
      </w:r>
      <w:r w:rsidR="00820459" w:rsidRPr="00500380">
        <w:rPr>
          <w:color w:val="000000"/>
        </w:rPr>
        <w:t xml:space="preserve">Counsel shall contact </w:t>
      </w:r>
      <w:r w:rsidR="00820459">
        <w:rPr>
          <w:color w:val="000000"/>
        </w:rPr>
        <w:t xml:space="preserve">a court reporter </w:t>
      </w:r>
      <w:r w:rsidR="00820459" w:rsidRPr="00500380">
        <w:rPr>
          <w:color w:val="000000"/>
        </w:rPr>
        <w:t xml:space="preserve">prior to the Pre-Trial Conference to discuss court reporter services. </w:t>
      </w:r>
      <w:r w:rsidR="00820459" w:rsidRPr="00251A0E">
        <w:rPr>
          <w:color w:val="000000"/>
        </w:rPr>
        <w:t xml:space="preserve">If either </w:t>
      </w:r>
      <w:r w:rsidR="00820459" w:rsidRPr="00251A0E">
        <w:rPr>
          <w:color w:val="000000"/>
        </w:rPr>
        <w:lastRenderedPageBreak/>
        <w:t xml:space="preserve">party wishes to have transcripts, please make prior arrangements with the court reporter engaged to provide </w:t>
      </w:r>
      <w:proofErr w:type="gramStart"/>
      <w:r w:rsidR="00820459" w:rsidRPr="00251A0E">
        <w:rPr>
          <w:color w:val="000000"/>
        </w:rPr>
        <w:t>court reporting</w:t>
      </w:r>
      <w:proofErr w:type="gramEnd"/>
      <w:r w:rsidR="00820459" w:rsidRPr="00251A0E">
        <w:rPr>
          <w:color w:val="000000"/>
        </w:rPr>
        <w:t xml:space="preserve"> services.</w:t>
      </w:r>
      <w:r w:rsidR="00820459">
        <w:rPr>
          <w:rStyle w:val="FootnoteReference"/>
          <w:color w:val="000000"/>
        </w:rPr>
        <w:footnoteReference w:id="1"/>
      </w:r>
    </w:p>
    <w:p w:rsidR="00034A1E" w:rsidRDefault="00034A1E" w:rsidP="002F0F77">
      <w:pPr>
        <w:pStyle w:val="NormalWeb"/>
        <w:spacing w:before="0" w:beforeAutospacing="0" w:after="0" w:afterAutospacing="0"/>
        <w:ind w:firstLine="5040"/>
      </w:pPr>
      <w:r>
        <w:rPr>
          <w:color w:val="000000"/>
        </w:rPr>
        <w:t>________________________________</w:t>
      </w:r>
    </w:p>
    <w:p w:rsidR="00034A1E" w:rsidRDefault="002F0F77" w:rsidP="002F0F77">
      <w:pPr>
        <w:pStyle w:val="NormalWeb"/>
        <w:spacing w:before="0" w:beforeAutospacing="0" w:after="0" w:afterAutospacing="0"/>
        <w:ind w:firstLine="5040"/>
      </w:pPr>
      <w:r>
        <w:rPr>
          <w:b/>
          <w:bCs/>
          <w:color w:val="000000"/>
        </w:rPr>
        <w:t>BRYAN BIEDSCHEID</w:t>
      </w:r>
    </w:p>
    <w:p w:rsidR="00034A1E" w:rsidRDefault="00034A1E" w:rsidP="002F0F77">
      <w:pPr>
        <w:pStyle w:val="NormalWeb"/>
        <w:spacing w:before="0" w:beforeAutospacing="0" w:after="0" w:afterAutospacing="0"/>
        <w:ind w:firstLine="5040"/>
      </w:pPr>
      <w:r>
        <w:rPr>
          <w:b/>
          <w:bCs/>
          <w:color w:val="000000"/>
        </w:rPr>
        <w:t>DISTRICT JUDGE</w:t>
      </w:r>
      <w:r w:rsidR="002F0F77">
        <w:rPr>
          <w:b/>
          <w:bCs/>
          <w:color w:val="000000"/>
        </w:rPr>
        <w:t>, DIV. VI</w:t>
      </w:r>
    </w:p>
    <w:p w:rsidR="00034A1E" w:rsidRDefault="00034A1E" w:rsidP="00E95D6F">
      <w:pPr>
        <w:pStyle w:val="NormalWeb"/>
      </w:pPr>
      <w:proofErr w:type="gramStart"/>
      <w:r>
        <w:rPr>
          <w:color w:val="000000"/>
        </w:rPr>
        <w:t>xc</w:t>
      </w:r>
      <w:proofErr w:type="gramEnd"/>
      <w:r>
        <w:rPr>
          <w:color w:val="000000"/>
        </w:rPr>
        <w:t>: [Counsel electronically served.]</w:t>
      </w:r>
    </w:p>
    <w:p w:rsidR="002E77F1" w:rsidRDefault="002E77F1">
      <w:pPr>
        <w:rPr>
          <w:rFonts w:ascii="Tahoma" w:eastAsia="Times New Roman" w:hAnsi="Tahoma" w:cs="Tahoma"/>
          <w:b/>
          <w:bCs/>
          <w:caps/>
          <w:spacing w:val="24"/>
          <w14:shadow w14:blurRad="50800" w14:dist="38100" w14:dir="2700000" w14:sx="100000" w14:sy="100000" w14:kx="0" w14:ky="0" w14:algn="tl">
            <w14:srgbClr w14:val="000000">
              <w14:alpha w14:val="60000"/>
            </w14:srgbClr>
          </w14:shadow>
        </w:rPr>
      </w:pPr>
      <w:r>
        <w:rPr>
          <w:rFonts w:ascii="Tahoma" w:eastAsia="Times New Roman" w:hAnsi="Tahoma" w:cs="Tahoma"/>
          <w:b/>
          <w:bCs/>
          <w:caps/>
          <w:spacing w:val="24"/>
          <w14:shadow w14:blurRad="50800" w14:dist="38100" w14:dir="2700000" w14:sx="100000" w14:sy="100000" w14:kx="0" w14:ky="0" w14:algn="tl">
            <w14:srgbClr w14:val="000000">
              <w14:alpha w14:val="60000"/>
            </w14:srgbClr>
          </w14:shadow>
        </w:rPr>
        <w:lastRenderedPageBreak/>
        <w:br w:type="page"/>
      </w:r>
    </w:p>
    <w:p w:rsidR="002E77F1" w:rsidRPr="002E77F1" w:rsidRDefault="002E77F1" w:rsidP="002E77F1">
      <w:pPr>
        <w:spacing w:before="0" w:beforeAutospacing="0" w:after="0" w:afterAutospacing="0"/>
        <w:ind w:left="-720" w:right="-720" w:firstLine="720"/>
        <w:rPr>
          <w:rFonts w:ascii="Tahoma" w:eastAsia="Times New Roman" w:hAnsi="Tahoma" w:cs="Tahoma"/>
          <w:b/>
          <w:bCs/>
          <w:caps/>
          <w:spacing w:val="24"/>
          <w14:shadow w14:blurRad="50800" w14:dist="38100" w14:dir="2700000" w14:sx="100000" w14:sy="100000" w14:kx="0" w14:ky="0" w14:algn="tl">
            <w14:srgbClr w14:val="000000">
              <w14:alpha w14:val="60000"/>
            </w14:srgbClr>
          </w14:shadow>
        </w:rPr>
      </w:pPr>
      <w:r w:rsidRPr="002E77F1">
        <w:rPr>
          <w:rFonts w:ascii="Tahoma" w:eastAsia="Times New Roman" w:hAnsi="Tahoma" w:cs="Tahoma"/>
          <w:b/>
          <w:bCs/>
          <w:caps/>
          <w:spacing w:val="24"/>
          <w14:shadow w14:blurRad="50800" w14:dist="38100" w14:dir="2700000" w14:sx="100000" w14:sy="100000" w14:kx="0" w14:ky="0" w14:algn="tl">
            <w14:srgbClr w14:val="000000">
              <w14:alpha w14:val="60000"/>
            </w14:srgbClr>
          </w14:shadow>
        </w:rPr>
        <w:t>HOW TO USE THE COURT’S ALTERNATIVE DISPUTE RESOLUTION</w:t>
      </w:r>
    </w:p>
    <w:p w:rsidR="002E77F1" w:rsidRPr="002E77F1" w:rsidRDefault="002E77F1" w:rsidP="002E77F1">
      <w:pPr>
        <w:spacing w:before="0" w:beforeAutospacing="0" w:after="0" w:afterAutospacing="0"/>
        <w:ind w:left="-720" w:right="-720" w:firstLine="720"/>
        <w:rPr>
          <w:rFonts w:ascii="Tahoma" w:eastAsia="Times New Roman" w:hAnsi="Tahoma" w:cs="Tahoma"/>
          <w:b/>
          <w:bCs/>
          <w:i/>
          <w:caps/>
        </w:rPr>
      </w:pPr>
      <w:r w:rsidRPr="002E77F1">
        <w:rPr>
          <w:rFonts w:ascii="Tahoma" w:eastAsia="Times New Roman" w:hAnsi="Tahoma" w:cs="Tahoma"/>
          <w:b/>
          <w:bCs/>
          <w:caps/>
          <w:spacing w:val="24"/>
          <w14:shadow w14:blurRad="50800" w14:dist="38100" w14:dir="2700000" w14:sx="100000" w14:sy="100000" w14:kx="0" w14:ky="0" w14:algn="tl">
            <w14:srgbClr w14:val="000000">
              <w14:alpha w14:val="60000"/>
            </w14:srgbClr>
          </w14:shadow>
        </w:rPr>
        <w:t xml:space="preserve">(ADR) PROGRAM to </w:t>
      </w:r>
      <w:r w:rsidRPr="002E77F1">
        <w:rPr>
          <w:rFonts w:ascii="Tahoma" w:eastAsia="Times New Roman" w:hAnsi="Tahoma" w:cs="Tahoma"/>
          <w:b/>
          <w:bCs/>
          <w:caps/>
        </w:rPr>
        <w:t>request a referral to settlement conference</w:t>
      </w:r>
    </w:p>
    <w:p w:rsidR="002E77F1" w:rsidRPr="002E77F1" w:rsidRDefault="002E77F1" w:rsidP="002E77F1">
      <w:pPr>
        <w:spacing w:before="0" w:beforeAutospacing="0" w:after="0" w:afterAutospacing="0"/>
        <w:ind w:left="0" w:right="-180" w:firstLine="0"/>
        <w:jc w:val="both"/>
        <w:rPr>
          <w:rFonts w:ascii="Tahoma" w:eastAsia="Times New Roman" w:hAnsi="Tahoma" w:cs="Tahoma"/>
        </w:rPr>
      </w:pPr>
    </w:p>
    <w:p w:rsidR="002E77F1" w:rsidRPr="002E77F1" w:rsidRDefault="002E77F1" w:rsidP="002E77F1">
      <w:pPr>
        <w:spacing w:before="0" w:beforeAutospacing="0" w:after="0" w:afterAutospacing="0"/>
        <w:ind w:left="0" w:right="-180" w:firstLine="0"/>
        <w:jc w:val="both"/>
        <w:rPr>
          <w:rFonts w:ascii="Tahoma" w:eastAsia="Times New Roman" w:hAnsi="Tahoma" w:cs="Tahoma"/>
        </w:rPr>
      </w:pPr>
      <w:r w:rsidRPr="002E77F1">
        <w:rPr>
          <w:rFonts w:ascii="Tahoma" w:eastAsia="Times New Roman" w:hAnsi="Tahoma" w:cs="Tahoma"/>
        </w:rPr>
        <w:t xml:space="preserve">This is the process to follow when the parties to a case are not engaged in private mediation or settlement facilitation. </w:t>
      </w:r>
    </w:p>
    <w:p w:rsidR="002E77F1" w:rsidRPr="002E77F1" w:rsidRDefault="002E77F1" w:rsidP="002E77F1">
      <w:pPr>
        <w:spacing w:before="0" w:beforeAutospacing="0" w:after="0" w:afterAutospacing="0"/>
        <w:ind w:left="0" w:right="-180" w:firstLine="0"/>
        <w:jc w:val="both"/>
        <w:rPr>
          <w:rFonts w:ascii="Tahoma" w:eastAsia="Times New Roman" w:hAnsi="Tahoma" w:cs="Tahoma"/>
        </w:rPr>
      </w:pPr>
    </w:p>
    <w:p w:rsidR="002E77F1" w:rsidRPr="002E77F1" w:rsidRDefault="002E77F1" w:rsidP="002E77F1">
      <w:pPr>
        <w:spacing w:before="0" w:beforeAutospacing="0" w:after="0" w:afterAutospacing="0"/>
        <w:ind w:left="0" w:right="-180" w:firstLine="0"/>
        <w:jc w:val="both"/>
        <w:rPr>
          <w:rFonts w:ascii="Tahoma" w:eastAsia="Times New Roman" w:hAnsi="Tahoma" w:cs="Tahoma"/>
        </w:rPr>
      </w:pPr>
      <w:proofErr w:type="gramStart"/>
      <w:r w:rsidRPr="002E77F1">
        <w:rPr>
          <w:rFonts w:ascii="Tahoma" w:eastAsia="Times New Roman" w:hAnsi="Tahoma" w:cs="Tahoma"/>
          <w:b/>
        </w:rPr>
        <w:t>For any questions or to obtain any forms</w:t>
      </w:r>
      <w:proofErr w:type="gramEnd"/>
      <w:r w:rsidRPr="002E77F1">
        <w:rPr>
          <w:rFonts w:ascii="Tahoma" w:eastAsia="Times New Roman" w:hAnsi="Tahoma" w:cs="Tahoma"/>
          <w:b/>
        </w:rPr>
        <w:t xml:space="preserve"> or for further information</w:t>
      </w:r>
      <w:r w:rsidRPr="002E77F1">
        <w:rPr>
          <w:rFonts w:ascii="Tahoma" w:eastAsia="Times New Roman" w:hAnsi="Tahoma" w:cs="Tahoma"/>
        </w:rPr>
        <w:t xml:space="preserve">, please contact the Court’s ADR program at 505-455-8145 or at </w:t>
      </w:r>
      <w:hyperlink r:id="rId7" w:history="1">
        <w:r w:rsidRPr="002E77F1">
          <w:rPr>
            <w:rFonts w:ascii="Tahoma" w:eastAsia="Times New Roman" w:hAnsi="Tahoma" w:cs="Tahoma"/>
            <w:color w:val="0000FF"/>
            <w:u w:val="single"/>
          </w:rPr>
          <w:t>sfedadr@nmcourts.gov</w:t>
        </w:r>
      </w:hyperlink>
      <w:r w:rsidRPr="002E77F1">
        <w:rPr>
          <w:rFonts w:ascii="Tahoma" w:eastAsia="Times New Roman" w:hAnsi="Tahoma" w:cs="Tahoma"/>
        </w:rPr>
        <w:t>.</w:t>
      </w:r>
    </w:p>
    <w:p w:rsidR="002E77F1" w:rsidRPr="002E77F1" w:rsidRDefault="002E77F1" w:rsidP="002E77F1">
      <w:pPr>
        <w:spacing w:before="0" w:beforeAutospacing="0" w:after="0" w:afterAutospacing="0"/>
        <w:ind w:left="0" w:right="-180" w:firstLine="0"/>
        <w:jc w:val="both"/>
        <w:rPr>
          <w:rFonts w:ascii="Tahoma" w:eastAsia="Times New Roman" w:hAnsi="Tahoma" w:cs="Tahoma"/>
        </w:rPr>
      </w:pPr>
    </w:p>
    <w:p w:rsidR="002E77F1" w:rsidRPr="002E77F1" w:rsidRDefault="002E77F1" w:rsidP="002E77F1">
      <w:pPr>
        <w:spacing w:before="0" w:beforeAutospacing="0" w:after="0" w:afterAutospacing="0"/>
        <w:ind w:left="0" w:right="-180" w:firstLine="0"/>
        <w:jc w:val="both"/>
        <w:rPr>
          <w:rFonts w:ascii="Tahoma" w:eastAsia="Times New Roman" w:hAnsi="Tahoma" w:cs="Tahoma"/>
        </w:rPr>
      </w:pPr>
      <w:r w:rsidRPr="002E77F1">
        <w:rPr>
          <w:rFonts w:ascii="Tahoma" w:eastAsia="Times New Roman" w:hAnsi="Tahoma" w:cs="Tahoma"/>
        </w:rPr>
        <w:t xml:space="preserve">All forms related to the Court’s ADR program are located on the Court’s website, on the Forms &amp; Files page in the ADR section, or at the following link: </w:t>
      </w:r>
    </w:p>
    <w:p w:rsidR="002E77F1" w:rsidRPr="002E77F1" w:rsidRDefault="002E77F1" w:rsidP="002E77F1">
      <w:pPr>
        <w:spacing w:before="0" w:beforeAutospacing="0" w:after="0" w:afterAutospacing="0"/>
        <w:ind w:left="0" w:right="-180" w:firstLine="0"/>
        <w:jc w:val="both"/>
        <w:rPr>
          <w:rFonts w:ascii="Tahoma" w:eastAsia="Times New Roman" w:hAnsi="Tahoma" w:cs="Tahoma"/>
        </w:rPr>
      </w:pPr>
    </w:p>
    <w:p w:rsidR="002E77F1" w:rsidRPr="002E77F1" w:rsidRDefault="002E77F1" w:rsidP="002E77F1">
      <w:pPr>
        <w:spacing w:before="0" w:beforeAutospacing="0" w:after="0" w:afterAutospacing="0"/>
        <w:ind w:left="0" w:right="-180" w:firstLine="0"/>
        <w:jc w:val="both"/>
        <w:rPr>
          <w:rFonts w:ascii="Tahoma" w:eastAsia="Times New Roman" w:hAnsi="Tahoma" w:cs="Tahoma"/>
        </w:rPr>
      </w:pPr>
      <w:hyperlink r:id="rId8" w:history="1">
        <w:r w:rsidRPr="002E77F1">
          <w:rPr>
            <w:rFonts w:ascii="Tahoma" w:eastAsia="Times New Roman" w:hAnsi="Tahoma" w:cs="Tahoma"/>
            <w:color w:val="0000FF"/>
            <w:u w:val="single"/>
          </w:rPr>
          <w:t>https://firstdistrict.nmcourts.gov/forms-files/adr/</w:t>
        </w:r>
      </w:hyperlink>
    </w:p>
    <w:p w:rsidR="002E77F1" w:rsidRPr="002E77F1" w:rsidRDefault="002E77F1" w:rsidP="002E77F1">
      <w:pPr>
        <w:spacing w:before="0" w:beforeAutospacing="0" w:after="0" w:afterAutospacing="0"/>
        <w:ind w:left="0" w:right="-180" w:firstLine="0"/>
        <w:jc w:val="both"/>
        <w:rPr>
          <w:rFonts w:ascii="Tahoma" w:eastAsia="Times New Roman" w:hAnsi="Tahoma" w:cs="Tahoma"/>
        </w:rPr>
      </w:pPr>
    </w:p>
    <w:p w:rsidR="002E77F1" w:rsidRPr="002E77F1" w:rsidRDefault="002E77F1" w:rsidP="002E77F1">
      <w:pPr>
        <w:spacing w:before="0" w:beforeAutospacing="0" w:after="0" w:afterAutospacing="0"/>
        <w:ind w:left="0" w:right="-180" w:firstLine="0"/>
        <w:jc w:val="both"/>
        <w:rPr>
          <w:rFonts w:ascii="Tahoma" w:eastAsia="Times New Roman" w:hAnsi="Tahoma" w:cs="Tahoma"/>
        </w:rPr>
      </w:pPr>
      <w:r w:rsidRPr="002E77F1">
        <w:rPr>
          <w:rFonts w:ascii="Tahoma" w:eastAsia="Times New Roman" w:hAnsi="Tahoma" w:cs="Tahoma"/>
        </w:rPr>
        <w:t xml:space="preserve">If a party would like the Court to assign a Settlement Facilitator from the Court’s list:  Complete a </w:t>
      </w:r>
      <w:r w:rsidRPr="002E77F1">
        <w:rPr>
          <w:rFonts w:ascii="Tahoma" w:eastAsia="Times New Roman" w:hAnsi="Tahoma" w:cs="Tahoma"/>
          <w:b/>
        </w:rPr>
        <w:t>Request for Referral to Settlement Conference</w:t>
      </w:r>
      <w:r w:rsidRPr="002E77F1">
        <w:rPr>
          <w:rFonts w:ascii="Tahoma" w:eastAsia="Times New Roman" w:hAnsi="Tahoma" w:cs="Tahoma"/>
        </w:rPr>
        <w:t xml:space="preserve"> form, file it in the case and email a courtesy copy to the ADR program at the address listed above. Settlement Facilitators on the Court’s list are attorneys with at least 5 years of experience in the subject matter who have mediation training and experience. </w:t>
      </w:r>
    </w:p>
    <w:p w:rsidR="002E77F1" w:rsidRPr="002E77F1" w:rsidRDefault="002E77F1" w:rsidP="002E77F1">
      <w:pPr>
        <w:spacing w:before="0" w:beforeAutospacing="0" w:after="0" w:afterAutospacing="0"/>
        <w:ind w:left="0" w:right="-180" w:firstLine="0"/>
        <w:jc w:val="both"/>
        <w:rPr>
          <w:rFonts w:ascii="Tahoma" w:eastAsia="Times New Roman" w:hAnsi="Tahoma" w:cs="Tahoma"/>
          <w:i/>
        </w:rPr>
      </w:pPr>
    </w:p>
    <w:p w:rsidR="002E77F1" w:rsidRPr="002E77F1" w:rsidRDefault="002E77F1" w:rsidP="002E77F1">
      <w:pPr>
        <w:spacing w:before="0" w:beforeAutospacing="0" w:after="0" w:afterAutospacing="0"/>
        <w:ind w:left="0" w:right="-180" w:firstLine="0"/>
        <w:jc w:val="both"/>
        <w:rPr>
          <w:rFonts w:ascii="Tahoma" w:eastAsia="Times New Roman" w:hAnsi="Tahoma" w:cs="Tahoma"/>
        </w:rPr>
      </w:pPr>
      <w:r w:rsidRPr="002E77F1">
        <w:rPr>
          <w:rFonts w:ascii="Tahoma" w:eastAsia="Times New Roman" w:hAnsi="Tahoma" w:cs="Tahoma"/>
        </w:rPr>
        <w:t xml:space="preserve">If all parties have agreed on a Settlement Facilitator, who may be, but is not required to be, a person on the Court’s list: Complete a </w:t>
      </w:r>
      <w:r w:rsidRPr="002E77F1">
        <w:rPr>
          <w:rFonts w:ascii="Tahoma" w:eastAsia="Times New Roman" w:hAnsi="Tahoma" w:cs="Tahoma"/>
          <w:b/>
        </w:rPr>
        <w:t>Stipulated Request for Referral to Settlement Conference</w:t>
      </w:r>
      <w:r w:rsidRPr="002E77F1">
        <w:rPr>
          <w:rFonts w:ascii="Tahoma" w:eastAsia="Times New Roman" w:hAnsi="Tahoma" w:cs="Tahoma"/>
        </w:rPr>
        <w:t xml:space="preserve"> form, file it in the case and email a courtesy copy to the ADR program.</w:t>
      </w:r>
    </w:p>
    <w:p w:rsidR="002E77F1" w:rsidRPr="002E77F1" w:rsidRDefault="002E77F1" w:rsidP="002E77F1">
      <w:pPr>
        <w:spacing w:before="0" w:beforeAutospacing="0" w:after="0" w:afterAutospacing="0"/>
        <w:ind w:left="0" w:right="-180" w:firstLine="0"/>
        <w:jc w:val="both"/>
        <w:rPr>
          <w:rFonts w:ascii="Tahoma" w:eastAsia="Times New Roman" w:hAnsi="Tahoma" w:cs="Tahoma"/>
        </w:rPr>
      </w:pPr>
    </w:p>
    <w:p w:rsidR="002E77F1" w:rsidRPr="002E77F1" w:rsidRDefault="002E77F1" w:rsidP="002E77F1">
      <w:pPr>
        <w:spacing w:before="0" w:beforeAutospacing="0" w:after="0" w:afterAutospacing="0"/>
        <w:ind w:left="0" w:right="-180" w:firstLine="0"/>
        <w:jc w:val="both"/>
        <w:rPr>
          <w:rFonts w:ascii="Tahoma" w:eastAsia="Times New Roman" w:hAnsi="Tahoma" w:cs="Tahoma"/>
        </w:rPr>
      </w:pPr>
      <w:r w:rsidRPr="002E77F1">
        <w:rPr>
          <w:rFonts w:ascii="Tahoma" w:eastAsia="Times New Roman" w:hAnsi="Tahoma" w:cs="Tahoma"/>
        </w:rPr>
        <w:t xml:space="preserve">An </w:t>
      </w:r>
      <w:r w:rsidRPr="002E77F1">
        <w:rPr>
          <w:rFonts w:ascii="Tahoma" w:eastAsia="Times New Roman" w:hAnsi="Tahoma" w:cs="Tahoma"/>
          <w:b/>
        </w:rPr>
        <w:t>Order of Referral to Settlement Conference</w:t>
      </w:r>
      <w:r w:rsidRPr="002E77F1">
        <w:rPr>
          <w:rFonts w:ascii="Tahoma" w:eastAsia="Times New Roman" w:hAnsi="Tahoma" w:cs="Tahoma"/>
        </w:rPr>
        <w:t xml:space="preserve"> </w:t>
      </w:r>
      <w:proofErr w:type="gramStart"/>
      <w:r w:rsidRPr="002E77F1">
        <w:rPr>
          <w:rFonts w:ascii="Tahoma" w:eastAsia="Times New Roman" w:hAnsi="Tahoma" w:cs="Tahoma"/>
        </w:rPr>
        <w:t>will be prepared and filed in the case</w:t>
      </w:r>
      <w:proofErr w:type="gramEnd"/>
      <w:r w:rsidRPr="002E77F1">
        <w:rPr>
          <w:rFonts w:ascii="Tahoma" w:eastAsia="Times New Roman" w:hAnsi="Tahoma" w:cs="Tahoma"/>
        </w:rPr>
        <w:t xml:space="preserve">. The parties are required to follow all terms of the Order. If a party and/or attorney does not comply with any term of the Order, the settlement facilitator is to complete a </w:t>
      </w:r>
      <w:r w:rsidRPr="002E77F1">
        <w:rPr>
          <w:rFonts w:ascii="Tahoma" w:eastAsia="Times New Roman" w:hAnsi="Tahoma" w:cs="Tahoma"/>
          <w:b/>
        </w:rPr>
        <w:t>Notice of Non-Compliance</w:t>
      </w:r>
      <w:r w:rsidRPr="002E77F1">
        <w:rPr>
          <w:rFonts w:ascii="Tahoma" w:eastAsia="Times New Roman" w:hAnsi="Tahoma" w:cs="Tahoma"/>
        </w:rPr>
        <w:t xml:space="preserve"> form and file it in the case. The presiding judge may take any appropriate action in response to the Notice of Non-Compliance. </w:t>
      </w:r>
    </w:p>
    <w:p w:rsidR="002E77F1" w:rsidRPr="002E77F1" w:rsidRDefault="002E77F1" w:rsidP="002E77F1">
      <w:pPr>
        <w:spacing w:before="0" w:beforeAutospacing="0" w:after="0" w:afterAutospacing="0"/>
        <w:ind w:left="0" w:right="-180" w:firstLine="0"/>
        <w:jc w:val="both"/>
        <w:rPr>
          <w:rFonts w:ascii="Tahoma" w:eastAsia="Times New Roman" w:hAnsi="Tahoma" w:cs="Tahoma"/>
        </w:rPr>
      </w:pPr>
    </w:p>
    <w:p w:rsidR="002E77F1" w:rsidRPr="002E77F1" w:rsidRDefault="002E77F1" w:rsidP="002E77F1">
      <w:pPr>
        <w:spacing w:before="0" w:beforeAutospacing="0" w:after="0" w:afterAutospacing="0"/>
        <w:ind w:left="0" w:right="-180" w:firstLine="0"/>
        <w:jc w:val="both"/>
        <w:rPr>
          <w:rFonts w:ascii="Tahoma" w:eastAsia="Times New Roman" w:hAnsi="Tahoma" w:cs="Tahoma"/>
        </w:rPr>
      </w:pPr>
      <w:r w:rsidRPr="002E77F1">
        <w:rPr>
          <w:rFonts w:ascii="Tahoma" w:eastAsia="Times New Roman" w:hAnsi="Tahoma" w:cs="Tahoma"/>
        </w:rPr>
        <w:t>T</w:t>
      </w:r>
      <w:r w:rsidRPr="002E77F1">
        <w:rPr>
          <w:rFonts w:ascii="Tahoma" w:eastAsia="Times New Roman" w:hAnsi="Tahoma" w:cs="Tahoma"/>
          <w:bCs/>
        </w:rPr>
        <w:t xml:space="preserve">he Settlement Facilitator or any party may complete a </w:t>
      </w:r>
      <w:r w:rsidRPr="002E77F1">
        <w:rPr>
          <w:rFonts w:ascii="Tahoma" w:eastAsia="Times New Roman" w:hAnsi="Tahoma" w:cs="Tahoma"/>
          <w:b/>
          <w:bCs/>
        </w:rPr>
        <w:t>Request for Replacement Settlement Facilitator</w:t>
      </w:r>
      <w:r w:rsidRPr="002E77F1">
        <w:rPr>
          <w:rFonts w:ascii="Tahoma" w:eastAsia="Times New Roman" w:hAnsi="Tahoma" w:cs="Tahoma"/>
          <w:bCs/>
        </w:rPr>
        <w:t xml:space="preserve"> form and file it in the case.</w:t>
      </w:r>
      <w:r w:rsidRPr="002E77F1">
        <w:rPr>
          <w:rFonts w:ascii="Tahoma" w:eastAsia="Times New Roman" w:hAnsi="Tahoma" w:cs="Tahoma"/>
        </w:rPr>
        <w:t xml:space="preserve"> No explanation is required for requesting that the Settlement Facilitator </w:t>
      </w:r>
      <w:proofErr w:type="gramStart"/>
      <w:r w:rsidRPr="002E77F1">
        <w:rPr>
          <w:rFonts w:ascii="Tahoma" w:eastAsia="Times New Roman" w:hAnsi="Tahoma" w:cs="Tahoma"/>
        </w:rPr>
        <w:t>be replaced</w:t>
      </w:r>
      <w:proofErr w:type="gramEnd"/>
      <w:r w:rsidRPr="002E77F1">
        <w:rPr>
          <w:rFonts w:ascii="Tahoma" w:eastAsia="Times New Roman" w:hAnsi="Tahoma" w:cs="Tahoma"/>
        </w:rPr>
        <w:t xml:space="preserve">. If you use this form, the ADR Office will assign a replacement Settlement Facilitator from the Court’s list.  </w:t>
      </w:r>
    </w:p>
    <w:p w:rsidR="002E77F1" w:rsidRPr="002E77F1" w:rsidRDefault="002E77F1" w:rsidP="002E77F1">
      <w:pPr>
        <w:spacing w:before="0" w:beforeAutospacing="0" w:after="0" w:afterAutospacing="0"/>
        <w:ind w:left="0" w:right="-180" w:firstLine="0"/>
        <w:jc w:val="both"/>
        <w:rPr>
          <w:rFonts w:ascii="Tahoma" w:eastAsia="Times New Roman" w:hAnsi="Tahoma" w:cs="Tahoma"/>
        </w:rPr>
      </w:pPr>
    </w:p>
    <w:p w:rsidR="002E77F1" w:rsidRPr="002E77F1" w:rsidRDefault="002E77F1" w:rsidP="002E77F1">
      <w:pPr>
        <w:spacing w:before="0" w:beforeAutospacing="0" w:after="0" w:afterAutospacing="0"/>
        <w:ind w:left="0" w:right="-180" w:firstLine="0"/>
        <w:jc w:val="both"/>
        <w:rPr>
          <w:rFonts w:ascii="Tahoma" w:eastAsia="Times New Roman" w:hAnsi="Tahoma" w:cs="Tahoma"/>
        </w:rPr>
      </w:pPr>
      <w:r w:rsidRPr="002E77F1">
        <w:rPr>
          <w:rFonts w:ascii="Tahoma" w:eastAsia="Times New Roman" w:hAnsi="Tahoma" w:cs="Tahoma"/>
        </w:rPr>
        <w:t xml:space="preserve">Settlement Facilitators on the Court’s list are paid $500.00, plus applicable taxes, for the first four hours, in cases that involve only pro se parties. They are paid $1,000.00, plus applicable taxes, for the first four hours in cases that involve counsel. The fee </w:t>
      </w:r>
      <w:proofErr w:type="gramStart"/>
      <w:r w:rsidRPr="002E77F1">
        <w:rPr>
          <w:rFonts w:ascii="Tahoma" w:eastAsia="Times New Roman" w:hAnsi="Tahoma" w:cs="Tahoma"/>
        </w:rPr>
        <w:t>is split</w:t>
      </w:r>
      <w:proofErr w:type="gramEnd"/>
      <w:r w:rsidRPr="002E77F1">
        <w:rPr>
          <w:rFonts w:ascii="Tahoma" w:eastAsia="Times New Roman" w:hAnsi="Tahoma" w:cs="Tahoma"/>
        </w:rPr>
        <w:t xml:space="preserve"> among all parties. If a party cannot afford the fee, that party may complete an </w:t>
      </w:r>
      <w:r w:rsidRPr="002E77F1">
        <w:rPr>
          <w:rFonts w:ascii="Tahoma" w:eastAsia="Times New Roman" w:hAnsi="Tahoma" w:cs="Tahoma"/>
          <w:b/>
        </w:rPr>
        <w:t xml:space="preserve">Application </w:t>
      </w:r>
      <w:proofErr w:type="gramStart"/>
      <w:r w:rsidRPr="002E77F1">
        <w:rPr>
          <w:rFonts w:ascii="Tahoma" w:eastAsia="Times New Roman" w:hAnsi="Tahoma" w:cs="Tahoma"/>
          <w:b/>
        </w:rPr>
        <w:t>for Free</w:t>
      </w:r>
      <w:proofErr w:type="gramEnd"/>
      <w:r w:rsidRPr="002E77F1">
        <w:rPr>
          <w:rFonts w:ascii="Tahoma" w:eastAsia="Times New Roman" w:hAnsi="Tahoma" w:cs="Tahoma"/>
          <w:b/>
        </w:rPr>
        <w:t xml:space="preserve"> or Reduced-Fee Settlement Facilitation</w:t>
      </w:r>
      <w:r w:rsidRPr="002E77F1">
        <w:rPr>
          <w:rFonts w:ascii="Tahoma" w:eastAsia="Times New Roman" w:hAnsi="Tahoma" w:cs="Tahoma"/>
        </w:rPr>
        <w:t xml:space="preserve"> form and file it in the case. Further instructions regarding the fee are included in the Order. </w:t>
      </w:r>
    </w:p>
    <w:p w:rsidR="002E77F1" w:rsidRPr="002E77F1" w:rsidRDefault="002E77F1" w:rsidP="002E77F1">
      <w:pPr>
        <w:spacing w:before="0" w:beforeAutospacing="0" w:after="0" w:afterAutospacing="0"/>
        <w:ind w:left="0" w:right="-180" w:firstLine="0"/>
        <w:jc w:val="both"/>
        <w:rPr>
          <w:rFonts w:ascii="Tahoma" w:eastAsia="Times New Roman" w:hAnsi="Tahoma" w:cs="Tahoma"/>
        </w:rPr>
      </w:pPr>
    </w:p>
    <w:p w:rsidR="006F6E09" w:rsidRDefault="002E77F1" w:rsidP="002E77F1">
      <w:pPr>
        <w:spacing w:before="0" w:beforeAutospacing="0" w:after="0" w:afterAutospacing="0"/>
        <w:ind w:left="0" w:right="-180" w:firstLine="0"/>
        <w:jc w:val="both"/>
      </w:pPr>
      <w:r w:rsidRPr="002E77F1">
        <w:rPr>
          <w:rFonts w:ascii="Tahoma" w:eastAsia="Times New Roman" w:hAnsi="Tahoma" w:cs="Tahoma"/>
        </w:rPr>
        <w:t xml:space="preserve">If a party does not believe </w:t>
      </w:r>
      <w:proofErr w:type="gramStart"/>
      <w:r w:rsidRPr="002E77F1">
        <w:rPr>
          <w:rFonts w:ascii="Tahoma" w:eastAsia="Times New Roman" w:hAnsi="Tahoma" w:cs="Tahoma"/>
        </w:rPr>
        <w:t>that</w:t>
      </w:r>
      <w:proofErr w:type="gramEnd"/>
      <w:r w:rsidRPr="002E77F1">
        <w:rPr>
          <w:rFonts w:ascii="Tahoma" w:eastAsia="Times New Roman" w:hAnsi="Tahoma" w:cs="Tahoma"/>
        </w:rPr>
        <w:t xml:space="preserve"> a settlement conference will be helpful in resolving the issues, that party may complete a </w:t>
      </w:r>
      <w:r w:rsidRPr="002E77F1">
        <w:rPr>
          <w:rFonts w:ascii="Tahoma" w:eastAsia="Times New Roman" w:hAnsi="Tahoma" w:cs="Tahoma"/>
          <w:b/>
        </w:rPr>
        <w:t>Motion for Excusal from Settlement Conference</w:t>
      </w:r>
      <w:r w:rsidRPr="002E77F1">
        <w:rPr>
          <w:rFonts w:ascii="Tahoma" w:eastAsia="Times New Roman" w:hAnsi="Tahoma" w:cs="Tahoma"/>
        </w:rPr>
        <w:t xml:space="preserve"> form and file it in the case. However, this does not mean the judge will grant the Motion. All parties must continue to comply with the Order until it </w:t>
      </w:r>
      <w:proofErr w:type="gramStart"/>
      <w:r w:rsidRPr="002E77F1">
        <w:rPr>
          <w:rFonts w:ascii="Tahoma" w:eastAsia="Times New Roman" w:hAnsi="Tahoma" w:cs="Tahoma"/>
        </w:rPr>
        <w:t>is modified</w:t>
      </w:r>
      <w:proofErr w:type="gramEnd"/>
      <w:r w:rsidRPr="002E77F1">
        <w:rPr>
          <w:rFonts w:ascii="Tahoma" w:eastAsia="Times New Roman" w:hAnsi="Tahoma" w:cs="Tahoma"/>
        </w:rPr>
        <w:t xml:space="preserve"> by another court Order.</w:t>
      </w:r>
    </w:p>
    <w:sectPr w:rsidR="006F6E0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45B" w:rsidRDefault="00C2245B" w:rsidP="00C2245B">
      <w:pPr>
        <w:spacing w:before="0" w:after="0"/>
      </w:pPr>
      <w:r>
        <w:separator/>
      </w:r>
    </w:p>
  </w:endnote>
  <w:endnote w:type="continuationSeparator" w:id="0">
    <w:p w:rsidR="00C2245B" w:rsidRDefault="00C2245B" w:rsidP="00C224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45B" w:rsidRDefault="00820459">
    <w:pPr>
      <w:pStyle w:val="Footer"/>
    </w:pPr>
    <w:r>
      <w:t xml:space="preserve">Rev. </w:t>
    </w:r>
    <w:r w:rsidR="002E77F1">
      <w:t>10</w:t>
    </w:r>
    <w:r w:rsidR="0072416C">
      <w:t>/</w:t>
    </w:r>
    <w:r w:rsidR="002E77F1">
      <w:t>17</w:t>
    </w:r>
    <w:r w:rsidR="0072416C">
      <w:t>/</w:t>
    </w:r>
    <w:r w:rsidR="002E77F1">
      <w:t>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45B" w:rsidRDefault="00C2245B" w:rsidP="00C2245B">
      <w:pPr>
        <w:spacing w:before="0" w:after="0"/>
      </w:pPr>
      <w:r>
        <w:separator/>
      </w:r>
    </w:p>
  </w:footnote>
  <w:footnote w:type="continuationSeparator" w:id="0">
    <w:p w:rsidR="00C2245B" w:rsidRDefault="00C2245B" w:rsidP="00C2245B">
      <w:pPr>
        <w:spacing w:before="0" w:after="0"/>
      </w:pPr>
      <w:r>
        <w:continuationSeparator/>
      </w:r>
    </w:p>
  </w:footnote>
  <w:footnote w:id="1">
    <w:p w:rsidR="00820459" w:rsidRDefault="00820459" w:rsidP="00820459">
      <w:pPr>
        <w:pStyle w:val="FootnoteText"/>
      </w:pPr>
      <w:r>
        <w:rPr>
          <w:rStyle w:val="FootnoteReference"/>
        </w:rPr>
        <w:footnoteRef/>
      </w:r>
      <w:r>
        <w:t xml:space="preserve"> </w:t>
      </w:r>
      <w:proofErr w:type="gramStart"/>
      <w:r>
        <w:t>Please see NMRA 22-201 and 22-202 for Court Reporters and Firms Engaged in Court Reporting; or for a list of court reporting firms and court reporters that have given permission to be contacted for trial transcript services at the First Judicial District Court, please email Division 6.</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5C72"/>
    <w:multiLevelType w:val="multilevel"/>
    <w:tmpl w:val="46C0900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7CB2C1A"/>
    <w:multiLevelType w:val="multilevel"/>
    <w:tmpl w:val="1B0E3A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03856"/>
    <w:multiLevelType w:val="multilevel"/>
    <w:tmpl w:val="D6F4E8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66A4B"/>
    <w:multiLevelType w:val="multilevel"/>
    <w:tmpl w:val="0430F8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2039FF"/>
    <w:multiLevelType w:val="multilevel"/>
    <w:tmpl w:val="4D2CFC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32403E"/>
    <w:multiLevelType w:val="multilevel"/>
    <w:tmpl w:val="9C64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C40592"/>
    <w:multiLevelType w:val="multilevel"/>
    <w:tmpl w:val="BD4C92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BC01D0"/>
    <w:multiLevelType w:val="multilevel"/>
    <w:tmpl w:val="747E6C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B20207"/>
    <w:multiLevelType w:val="multilevel"/>
    <w:tmpl w:val="F092AD00"/>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250013"/>
    <w:multiLevelType w:val="multilevel"/>
    <w:tmpl w:val="120A76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DA4341"/>
    <w:multiLevelType w:val="multilevel"/>
    <w:tmpl w:val="A858BB66"/>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5A1780"/>
    <w:multiLevelType w:val="multilevel"/>
    <w:tmpl w:val="9C32BC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BB444D"/>
    <w:multiLevelType w:val="multilevel"/>
    <w:tmpl w:val="F0242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955896"/>
    <w:multiLevelType w:val="multilevel"/>
    <w:tmpl w:val="7ADAA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E97904"/>
    <w:multiLevelType w:val="multilevel"/>
    <w:tmpl w:val="E662D19A"/>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E24B0B"/>
    <w:multiLevelType w:val="multilevel"/>
    <w:tmpl w:val="437EC8DC"/>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057486"/>
    <w:multiLevelType w:val="multilevel"/>
    <w:tmpl w:val="04FCADF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5429DD"/>
    <w:multiLevelType w:val="multilevel"/>
    <w:tmpl w:val="9474B8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EE1C4A"/>
    <w:multiLevelType w:val="multilevel"/>
    <w:tmpl w:val="E7BC9D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8"/>
  </w:num>
  <w:num w:numId="4">
    <w:abstractNumId w:val="10"/>
  </w:num>
  <w:num w:numId="5">
    <w:abstractNumId w:val="14"/>
  </w:num>
  <w:num w:numId="6">
    <w:abstractNumId w:val="11"/>
  </w:num>
  <w:num w:numId="7">
    <w:abstractNumId w:val="13"/>
  </w:num>
  <w:num w:numId="8">
    <w:abstractNumId w:val="18"/>
  </w:num>
  <w:num w:numId="9">
    <w:abstractNumId w:val="17"/>
  </w:num>
  <w:num w:numId="10">
    <w:abstractNumId w:val="2"/>
  </w:num>
  <w:num w:numId="11">
    <w:abstractNumId w:val="3"/>
  </w:num>
  <w:num w:numId="12">
    <w:abstractNumId w:val="9"/>
  </w:num>
  <w:num w:numId="13">
    <w:abstractNumId w:val="4"/>
  </w:num>
  <w:num w:numId="14">
    <w:abstractNumId w:val="7"/>
  </w:num>
  <w:num w:numId="15">
    <w:abstractNumId w:val="16"/>
  </w:num>
  <w:num w:numId="16">
    <w:abstractNumId w:val="0"/>
  </w:num>
  <w:num w:numId="17">
    <w:abstractNumId w:val="12"/>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A1E"/>
    <w:rsid w:val="00034A1E"/>
    <w:rsid w:val="002D0970"/>
    <w:rsid w:val="002E77F1"/>
    <w:rsid w:val="002F0F77"/>
    <w:rsid w:val="006F6E09"/>
    <w:rsid w:val="0072416C"/>
    <w:rsid w:val="007315D5"/>
    <w:rsid w:val="00820459"/>
    <w:rsid w:val="008C4FE8"/>
    <w:rsid w:val="00BB0935"/>
    <w:rsid w:val="00BB32AF"/>
    <w:rsid w:val="00C16CDD"/>
    <w:rsid w:val="00C2245B"/>
    <w:rsid w:val="00E95D6F"/>
    <w:rsid w:val="00FA3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868F6"/>
  <w15:chartTrackingRefBased/>
  <w15:docId w15:val="{AF172BE8-F097-4CA1-837A-7217BE23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60"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4A1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2245B"/>
    <w:pPr>
      <w:tabs>
        <w:tab w:val="center" w:pos="4680"/>
        <w:tab w:val="right" w:pos="9360"/>
      </w:tabs>
      <w:spacing w:before="0" w:after="0"/>
    </w:pPr>
  </w:style>
  <w:style w:type="character" w:customStyle="1" w:styleId="HeaderChar">
    <w:name w:val="Header Char"/>
    <w:basedOn w:val="DefaultParagraphFont"/>
    <w:link w:val="Header"/>
    <w:uiPriority w:val="99"/>
    <w:rsid w:val="00C2245B"/>
  </w:style>
  <w:style w:type="paragraph" w:styleId="Footer">
    <w:name w:val="footer"/>
    <w:basedOn w:val="Normal"/>
    <w:link w:val="FooterChar"/>
    <w:uiPriority w:val="99"/>
    <w:unhideWhenUsed/>
    <w:rsid w:val="00C2245B"/>
    <w:pPr>
      <w:tabs>
        <w:tab w:val="center" w:pos="4680"/>
        <w:tab w:val="right" w:pos="9360"/>
      </w:tabs>
      <w:spacing w:before="0" w:after="0"/>
    </w:pPr>
  </w:style>
  <w:style w:type="character" w:customStyle="1" w:styleId="FooterChar">
    <w:name w:val="Footer Char"/>
    <w:basedOn w:val="DefaultParagraphFont"/>
    <w:link w:val="Footer"/>
    <w:uiPriority w:val="99"/>
    <w:rsid w:val="00C2245B"/>
  </w:style>
  <w:style w:type="paragraph" w:styleId="FootnoteText">
    <w:name w:val="footnote text"/>
    <w:basedOn w:val="Normal"/>
    <w:link w:val="FootnoteTextChar"/>
    <w:uiPriority w:val="99"/>
    <w:semiHidden/>
    <w:unhideWhenUsed/>
    <w:rsid w:val="00820459"/>
    <w:pPr>
      <w:spacing w:before="0" w:beforeAutospacing="0" w:after="0" w:afterAutospacing="0"/>
      <w:ind w:left="0" w:firstLine="0"/>
    </w:pPr>
    <w:rPr>
      <w:sz w:val="20"/>
      <w:szCs w:val="20"/>
    </w:rPr>
  </w:style>
  <w:style w:type="character" w:customStyle="1" w:styleId="FootnoteTextChar">
    <w:name w:val="Footnote Text Char"/>
    <w:basedOn w:val="DefaultParagraphFont"/>
    <w:link w:val="FootnoteText"/>
    <w:uiPriority w:val="99"/>
    <w:semiHidden/>
    <w:rsid w:val="00820459"/>
    <w:rPr>
      <w:sz w:val="20"/>
      <w:szCs w:val="20"/>
    </w:rPr>
  </w:style>
  <w:style w:type="character" w:styleId="FootnoteReference">
    <w:name w:val="footnote reference"/>
    <w:basedOn w:val="DefaultParagraphFont"/>
    <w:uiPriority w:val="99"/>
    <w:semiHidden/>
    <w:unhideWhenUsed/>
    <w:rsid w:val="008204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242587">
      <w:bodyDiv w:val="1"/>
      <w:marLeft w:val="0"/>
      <w:marRight w:val="0"/>
      <w:marTop w:val="0"/>
      <w:marBottom w:val="0"/>
      <w:divBdr>
        <w:top w:val="none" w:sz="0" w:space="0" w:color="auto"/>
        <w:left w:val="none" w:sz="0" w:space="0" w:color="auto"/>
        <w:bottom w:val="none" w:sz="0" w:space="0" w:color="auto"/>
        <w:right w:val="none" w:sz="0" w:space="0" w:color="auto"/>
      </w:divBdr>
    </w:div>
    <w:div w:id="125280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stdistrict.nmcourts.gov/forms-files/adr/" TargetMode="External"/><Relationship Id="rId3" Type="http://schemas.openxmlformats.org/officeDocument/2006/relationships/settings" Target="settings.xml"/><Relationship Id="rId7" Type="http://schemas.openxmlformats.org/officeDocument/2006/relationships/hyperlink" Target="mailto:sfedadr@nmcourt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Sossman, Therese S.</dc:creator>
  <cp:keywords/>
  <dc:description/>
  <cp:lastModifiedBy>Sossman, Therese S.</cp:lastModifiedBy>
  <cp:revision>3</cp:revision>
  <dcterms:created xsi:type="dcterms:W3CDTF">2024-10-17T15:54:00Z</dcterms:created>
  <dcterms:modified xsi:type="dcterms:W3CDTF">2024-10-17T15:55:00Z</dcterms:modified>
</cp:coreProperties>
</file>